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9E" w:rsidRDefault="00DE089E" w:rsidP="00DE089E">
      <w:pPr>
        <w:pStyle w:val="NoSpacing"/>
        <w:ind w:left="1440" w:righ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COURT OF THE LOK PAL MBUDSMAN),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ELECTRICITY, PUNJAB,</w:t>
      </w:r>
    </w:p>
    <w:p w:rsidR="00DE089E" w:rsidRDefault="00DE089E" w:rsidP="00DE089E">
      <w:pPr>
        <w:pStyle w:val="NoSpacing"/>
        <w:ind w:righ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PLOT NO. A-2, INDUSTRIAL AREA, PHASE-1,</w:t>
      </w:r>
    </w:p>
    <w:p w:rsidR="00DE089E" w:rsidRDefault="00DE089E" w:rsidP="00DE089E">
      <w:pPr>
        <w:pStyle w:val="NoSpacing"/>
        <w:ind w:left="2127" w:righ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S.A.S. NAGAR (MOHALI).</w:t>
      </w:r>
    </w:p>
    <w:p w:rsidR="00D45273" w:rsidRDefault="00D45273" w:rsidP="00DE089E">
      <w:pPr>
        <w:pStyle w:val="NoSpacing"/>
        <w:ind w:left="2127" w:right="1440"/>
        <w:rPr>
          <w:rFonts w:ascii="Times New Roman" w:hAnsi="Times New Roman" w:cs="Times New Roman"/>
          <w:b/>
          <w:sz w:val="28"/>
          <w:szCs w:val="28"/>
        </w:rPr>
      </w:pPr>
    </w:p>
    <w:p w:rsidR="00DE089E" w:rsidRDefault="00DE089E" w:rsidP="00DE089E">
      <w:pPr>
        <w:pStyle w:val="NoSpacing"/>
        <w:ind w:left="2127" w:right="1440"/>
        <w:rPr>
          <w:rFonts w:ascii="Times New Roman" w:hAnsi="Times New Roman" w:cs="Times New Roman"/>
          <w:b/>
          <w:sz w:val="28"/>
          <w:szCs w:val="28"/>
        </w:rPr>
      </w:pPr>
    </w:p>
    <w:p w:rsidR="00DE089E" w:rsidRDefault="00DE089E" w:rsidP="00DE089E">
      <w:pPr>
        <w:pStyle w:val="NoSpacing"/>
        <w:ind w:righ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 R D  E R</w:t>
      </w:r>
    </w:p>
    <w:p w:rsidR="00DE089E" w:rsidRDefault="00DE089E" w:rsidP="00DE089E">
      <w:pPr>
        <w:pStyle w:val="NoSpacing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089E" w:rsidRDefault="00DE089E" w:rsidP="00DE089E">
      <w:pPr>
        <w:pStyle w:val="NoSpacing"/>
        <w:ind w:left="795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Rectification of Order dated </w:t>
      </w:r>
      <w:r w:rsidR="00846D4C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46D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846D4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passed in Appeal    No.</w:t>
      </w:r>
      <w:r w:rsidR="00846D4C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 xml:space="preserve"> of 201</w:t>
      </w:r>
      <w:r w:rsidR="00846D4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titled as</w:t>
      </w:r>
      <w:r w:rsidR="002D04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89E" w:rsidRDefault="00DE089E" w:rsidP="00DE089E">
      <w:pPr>
        <w:pStyle w:val="NoSpacing"/>
        <w:ind w:left="720"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9E" w:rsidRDefault="00DE089E" w:rsidP="00DE089E">
      <w:pPr>
        <w:pStyle w:val="NoSpacing"/>
        <w:ind w:left="720"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273" w:rsidRDefault="00846D4C" w:rsidP="00DE089E">
      <w:pPr>
        <w:pStyle w:val="NoSpacing"/>
        <w:ind w:left="1440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XEAM Ventures Pvt. Ltd.</w:t>
      </w:r>
    </w:p>
    <w:p w:rsidR="00846D4C" w:rsidRDefault="00846D4C" w:rsidP="00DE089E">
      <w:pPr>
        <w:pStyle w:val="NoSpacing"/>
        <w:ind w:left="1440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F-202, Phase- VIII-B,</w:t>
      </w:r>
    </w:p>
    <w:p w:rsidR="00D45273" w:rsidRDefault="00846D4C" w:rsidP="00DE089E">
      <w:pPr>
        <w:pStyle w:val="NoSpacing"/>
        <w:ind w:left="1440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Industrial Area,</w:t>
      </w:r>
    </w:p>
    <w:p w:rsidR="00846D4C" w:rsidRDefault="00846D4C" w:rsidP="00DE089E">
      <w:pPr>
        <w:pStyle w:val="NoSpacing"/>
        <w:ind w:left="1440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S.A.S.Nagar  (Mohali).</w:t>
      </w:r>
    </w:p>
    <w:p w:rsidR="00DE089E" w:rsidRDefault="00DE089E" w:rsidP="00846D4C">
      <w:pPr>
        <w:pStyle w:val="NoSpacing"/>
        <w:ind w:left="1440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89E" w:rsidRDefault="00DE089E" w:rsidP="00846D4C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6D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...Petitioner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089E" w:rsidRDefault="00DE089E" w:rsidP="00DE089E">
      <w:pPr>
        <w:pStyle w:val="NoSpacing"/>
        <w:ind w:left="1984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Versus</w:t>
      </w:r>
    </w:p>
    <w:p w:rsidR="00DE089E" w:rsidRDefault="00DE089E" w:rsidP="00DE089E">
      <w:pPr>
        <w:pStyle w:val="NoSpacing"/>
        <w:ind w:left="1984"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DE089E" w:rsidRDefault="00DE089E" w:rsidP="00DE089E">
      <w:pPr>
        <w:pStyle w:val="NoSpacing"/>
        <w:ind w:left="1264" w:right="1440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Superinte</w:t>
      </w:r>
      <w:r w:rsidR="00846D4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ding  Engineer,</w:t>
      </w:r>
    </w:p>
    <w:p w:rsidR="00DE089E" w:rsidRDefault="00DE089E" w:rsidP="00DE089E">
      <w:pPr>
        <w:pStyle w:val="NoSpacing"/>
        <w:ind w:left="72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 Division</w:t>
      </w:r>
      <w:r w:rsidR="00846D4C">
        <w:rPr>
          <w:rFonts w:ascii="Times New Roman" w:hAnsi="Times New Roman" w:cs="Times New Roman"/>
          <w:sz w:val="28"/>
          <w:szCs w:val="28"/>
        </w:rPr>
        <w:t xml:space="preserve"> (Special)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1805" w:rsidRDefault="00DE089E" w:rsidP="00DE089E">
      <w:pPr>
        <w:pStyle w:val="NoSpacing"/>
        <w:ind w:left="1264" w:right="1440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PSPCL,</w:t>
      </w:r>
    </w:p>
    <w:p w:rsidR="00DE089E" w:rsidRDefault="00DE089E" w:rsidP="00DE089E">
      <w:pPr>
        <w:pStyle w:val="NoSpacing"/>
        <w:ind w:left="1264" w:right="1440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D4C">
        <w:rPr>
          <w:rFonts w:ascii="Times New Roman" w:hAnsi="Times New Roman" w:cs="Times New Roman"/>
          <w:sz w:val="28"/>
          <w:szCs w:val="28"/>
        </w:rPr>
        <w:t>S.A.S.Nagar (Mohali)</w:t>
      </w:r>
    </w:p>
    <w:p w:rsidR="00DE089E" w:rsidRDefault="00DE089E" w:rsidP="00DE089E">
      <w:pPr>
        <w:pStyle w:val="NoSpacing"/>
        <w:ind w:left="1264" w:right="1440" w:firstLine="176"/>
        <w:jc w:val="both"/>
        <w:rPr>
          <w:rFonts w:ascii="Times New Roman" w:hAnsi="Times New Roman" w:cs="Times New Roman"/>
          <w:sz w:val="28"/>
          <w:szCs w:val="28"/>
        </w:rPr>
      </w:pPr>
    </w:p>
    <w:p w:rsidR="00DE089E" w:rsidRDefault="00DE089E" w:rsidP="00846D4C">
      <w:pPr>
        <w:ind w:left="1984" w:right="-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46D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...Respondent</w:t>
      </w:r>
    </w:p>
    <w:p w:rsidR="00DE089E" w:rsidRDefault="00DE089E" w:rsidP="00DE089E">
      <w:pPr>
        <w:pStyle w:val="NoSpacing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D04EB" w:rsidRDefault="002D04EB" w:rsidP="00DE089E">
      <w:pPr>
        <w:pStyle w:val="NoSpacing"/>
        <w:spacing w:line="480" w:lineRule="auto"/>
        <w:ind w:left="72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Petitioner’s Representative (PR) could not properly present</w:t>
      </w:r>
      <w:r w:rsidR="00A257F8">
        <w:rPr>
          <w:rFonts w:ascii="Times New Roman" w:hAnsi="Times New Roman" w:cs="Times New Roman"/>
          <w:sz w:val="28"/>
          <w:szCs w:val="28"/>
        </w:rPr>
        <w:t xml:space="preserve"> during the hearing</w:t>
      </w:r>
      <w:r>
        <w:rPr>
          <w:rFonts w:ascii="Times New Roman" w:hAnsi="Times New Roman" w:cs="Times New Roman"/>
          <w:sz w:val="28"/>
          <w:szCs w:val="28"/>
        </w:rPr>
        <w:t xml:space="preserve"> the conditions of Franchise Agreement which was made on 13.12.2016 with Lakme Academy to run an Education Centre of Lakme Academy. Now, Petitioner’s Representative (PR) represented to this Court vide e-mail dated 03.06.2019 that the Court has given the rebate upto 14.12.2016 and ignored the further period which is admissible as per provisions contained in Commercial Circular (CC) Nos. 14/2015, 25/2016, 46/2017 and 23/2018.</w:t>
      </w:r>
    </w:p>
    <w:p w:rsidR="00846D4C" w:rsidRDefault="002D04EB" w:rsidP="00DE089E">
      <w:pPr>
        <w:pStyle w:val="NoSpacing"/>
        <w:spacing w:line="480" w:lineRule="auto"/>
        <w:ind w:left="72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 view of the above, the Court has considered the Petitioner’s plea and  t</w:t>
      </w:r>
      <w:r w:rsidR="00846D4C">
        <w:rPr>
          <w:rFonts w:ascii="Times New Roman" w:hAnsi="Times New Roman" w:cs="Times New Roman"/>
          <w:sz w:val="28"/>
          <w:szCs w:val="28"/>
        </w:rPr>
        <w:t>he following rectification/modification in order dated 04.04.2019 is made:</w:t>
      </w:r>
    </w:p>
    <w:tbl>
      <w:tblPr>
        <w:tblStyle w:val="TableGrid"/>
        <w:tblW w:w="0" w:type="auto"/>
        <w:tblInd w:w="720" w:type="dxa"/>
        <w:tblLook w:val="04A0"/>
      </w:tblPr>
      <w:tblGrid>
        <w:gridCol w:w="1656"/>
        <w:gridCol w:w="1701"/>
        <w:gridCol w:w="1134"/>
        <w:gridCol w:w="4031"/>
      </w:tblGrid>
      <w:tr w:rsidR="00846D4C" w:rsidTr="00283B4B">
        <w:tc>
          <w:tcPr>
            <w:tcW w:w="1656" w:type="dxa"/>
          </w:tcPr>
          <w:p w:rsidR="00846D4C" w:rsidRPr="00283B4B" w:rsidRDefault="00846D4C" w:rsidP="00283B4B">
            <w:pPr>
              <w:pStyle w:val="NoSpacing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4B">
              <w:rPr>
                <w:rFonts w:ascii="Times New Roman" w:hAnsi="Times New Roman" w:cs="Times New Roman"/>
                <w:b/>
                <w:sz w:val="28"/>
                <w:szCs w:val="28"/>
              </w:rPr>
              <w:t>Particulars</w:t>
            </w:r>
            <w:r w:rsidRPr="00283B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46D4C" w:rsidRPr="00283B4B" w:rsidRDefault="00846D4C" w:rsidP="00283B4B">
            <w:pPr>
              <w:pStyle w:val="NoSpacing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Para No.    </w:t>
            </w:r>
          </w:p>
        </w:tc>
        <w:tc>
          <w:tcPr>
            <w:tcW w:w="1134" w:type="dxa"/>
          </w:tcPr>
          <w:p w:rsidR="00846D4C" w:rsidRPr="00283B4B" w:rsidRDefault="00846D4C" w:rsidP="00283B4B">
            <w:pPr>
              <w:pStyle w:val="NoSpacing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4B">
              <w:rPr>
                <w:rFonts w:ascii="Times New Roman" w:hAnsi="Times New Roman" w:cs="Times New Roman"/>
                <w:b/>
                <w:sz w:val="28"/>
                <w:szCs w:val="28"/>
              </w:rPr>
              <w:t>Page No.</w:t>
            </w:r>
          </w:p>
        </w:tc>
        <w:tc>
          <w:tcPr>
            <w:tcW w:w="4031" w:type="dxa"/>
          </w:tcPr>
          <w:p w:rsidR="00846D4C" w:rsidRPr="00283B4B" w:rsidRDefault="00846D4C" w:rsidP="00283B4B">
            <w:pPr>
              <w:pStyle w:val="NoSpacing"/>
              <w:ind w:right="-2"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4B">
              <w:rPr>
                <w:rFonts w:ascii="Times New Roman" w:hAnsi="Times New Roman" w:cs="Times New Roman"/>
                <w:b/>
                <w:sz w:val="28"/>
                <w:szCs w:val="28"/>
              </w:rPr>
              <w:t>Modification</w:t>
            </w:r>
          </w:p>
          <w:p w:rsidR="00846D4C" w:rsidRPr="00283B4B" w:rsidRDefault="00846D4C" w:rsidP="00283B4B">
            <w:pPr>
              <w:pStyle w:val="NoSpacing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D4C" w:rsidTr="00283B4B">
        <w:tc>
          <w:tcPr>
            <w:tcW w:w="1656" w:type="dxa"/>
          </w:tcPr>
          <w:p w:rsidR="00846D4C" w:rsidRPr="00283B4B" w:rsidRDefault="00846D4C" w:rsidP="00DE089E">
            <w:pPr>
              <w:pStyle w:val="NoSpacing"/>
              <w:spacing w:line="48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  <w:tc>
          <w:tcPr>
            <w:tcW w:w="1701" w:type="dxa"/>
          </w:tcPr>
          <w:p w:rsidR="00846D4C" w:rsidRPr="00283B4B" w:rsidRDefault="00846D4C" w:rsidP="00283B4B">
            <w:pPr>
              <w:pStyle w:val="NoSpacing"/>
              <w:spacing w:line="48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 xml:space="preserve">(i) </w:t>
            </w:r>
            <w:r w:rsidR="00283B4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1134" w:type="dxa"/>
          </w:tcPr>
          <w:p w:rsidR="00846D4C" w:rsidRPr="00283B4B" w:rsidRDefault="00846D4C" w:rsidP="00DE089E">
            <w:pPr>
              <w:pStyle w:val="NoSpacing"/>
              <w:spacing w:line="48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031" w:type="dxa"/>
          </w:tcPr>
          <w:p w:rsidR="00846D4C" w:rsidRDefault="00846D4C" w:rsidP="00D45273">
            <w:pPr>
              <w:pStyle w:val="NoSpacing"/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>The Petitioner is required                                                          to be allowed HT Rabate                                                                         from</w:t>
            </w:r>
            <w:r w:rsidR="0028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>01.09.2015,</w:t>
            </w:r>
            <w:r w:rsidR="00283B4B" w:rsidRPr="00283B4B">
              <w:rPr>
                <w:rFonts w:ascii="Times New Roman" w:hAnsi="Times New Roman" w:cs="Times New Roman"/>
                <w:sz w:val="24"/>
                <w:szCs w:val="24"/>
              </w:rPr>
              <w:t xml:space="preserve"> (after</w:t>
            </w: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 xml:space="preserve">  adjustment </w:t>
            </w:r>
            <w:r w:rsidR="00283B4B" w:rsidRPr="0028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>of rebate  already paid) as provided</w:t>
            </w:r>
            <w:r w:rsidR="00283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B4B">
              <w:rPr>
                <w:rFonts w:ascii="Times New Roman" w:hAnsi="Times New Roman" w:cs="Times New Roman"/>
                <w:sz w:val="24"/>
                <w:szCs w:val="24"/>
              </w:rPr>
              <w:t>in Tariff Order of the</w:t>
            </w:r>
            <w:r w:rsidR="00283B4B">
              <w:rPr>
                <w:rFonts w:ascii="Times New Roman" w:hAnsi="Times New Roman" w:cs="Times New Roman"/>
                <w:sz w:val="24"/>
                <w:szCs w:val="24"/>
              </w:rPr>
              <w:t xml:space="preserve"> respective financial year. No interest is required to be allowed on the said amount..</w:t>
            </w:r>
          </w:p>
        </w:tc>
      </w:tr>
      <w:tr w:rsidR="00846D4C" w:rsidTr="00283B4B">
        <w:tc>
          <w:tcPr>
            <w:tcW w:w="1656" w:type="dxa"/>
          </w:tcPr>
          <w:p w:rsidR="00846D4C" w:rsidRDefault="00283B4B" w:rsidP="00DE089E">
            <w:pPr>
              <w:pStyle w:val="NoSpacing"/>
              <w:spacing w:line="48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Decision</w:t>
            </w:r>
          </w:p>
        </w:tc>
        <w:tc>
          <w:tcPr>
            <w:tcW w:w="1701" w:type="dxa"/>
          </w:tcPr>
          <w:p w:rsidR="00846D4C" w:rsidRDefault="00283B4B" w:rsidP="00283B4B">
            <w:pPr>
              <w:pStyle w:val="NoSpacing"/>
              <w:spacing w:line="48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(i) and (ii)</w:t>
            </w:r>
          </w:p>
        </w:tc>
        <w:tc>
          <w:tcPr>
            <w:tcW w:w="1134" w:type="dxa"/>
          </w:tcPr>
          <w:p w:rsidR="00846D4C" w:rsidRDefault="00283B4B" w:rsidP="00DE089E">
            <w:pPr>
              <w:pStyle w:val="NoSpacing"/>
              <w:spacing w:line="48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1" w:type="dxa"/>
          </w:tcPr>
          <w:p w:rsidR="00846D4C" w:rsidRDefault="00283B4B" w:rsidP="00B61805">
            <w:pPr>
              <w:pStyle w:val="NoSpacing"/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Petitioner shall be allowed HT Rebate @ 20 Paise/ kVAh from 01.09.2015, (after adjustment of the rabate already paid) as provided  in the Tariff Order for the relevant financial year. No interest shall be payable on th</w:t>
            </w:r>
            <w:r w:rsidR="00B6180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61805">
              <w:rPr>
                <w:rFonts w:ascii="Times New Roman" w:hAnsi="Times New Roman" w:cs="Times New Roman"/>
                <w:sz w:val="24"/>
                <w:szCs w:val="24"/>
              </w:rPr>
              <w:t>ccount.</w:t>
            </w:r>
          </w:p>
        </w:tc>
      </w:tr>
    </w:tbl>
    <w:p w:rsidR="00846D4C" w:rsidRDefault="00846D4C" w:rsidP="00DE089E">
      <w:pPr>
        <w:pStyle w:val="NoSpacing"/>
        <w:spacing w:line="480" w:lineRule="auto"/>
        <w:ind w:left="720"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089E" w:rsidRDefault="00DE089E" w:rsidP="00283B4B">
      <w:pPr>
        <w:pStyle w:val="NoSpacing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3B4B">
        <w:rPr>
          <w:rFonts w:ascii="Times New Roman" w:hAnsi="Times New Roman" w:cs="Times New Roman"/>
          <w:sz w:val="28"/>
          <w:szCs w:val="28"/>
        </w:rPr>
        <w:tab/>
      </w:r>
      <w:r w:rsidR="00283B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(VIRINDER SINGH)</w:t>
      </w:r>
    </w:p>
    <w:p w:rsidR="00DE089E" w:rsidRDefault="00283B4B" w:rsidP="00283B4B">
      <w:pPr>
        <w:pStyle w:val="NoSpacing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</w:t>
      </w:r>
      <w:r w:rsidR="00DE089E">
        <w:rPr>
          <w:rFonts w:ascii="Times New Roman" w:hAnsi="Times New Roman" w:cs="Times New Roman"/>
          <w:sz w:val="28"/>
          <w:szCs w:val="28"/>
        </w:rPr>
        <w:t xml:space="preserve"> </w:t>
      </w:r>
      <w:r w:rsidR="002D04EB">
        <w:rPr>
          <w:rFonts w:ascii="Times New Roman" w:hAnsi="Times New Roman" w:cs="Times New Roman"/>
          <w:sz w:val="28"/>
          <w:szCs w:val="28"/>
        </w:rPr>
        <w:t>10</w:t>
      </w:r>
      <w:r w:rsidR="00DE089E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E08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089E">
        <w:rPr>
          <w:rFonts w:ascii="Times New Roman" w:hAnsi="Times New Roman" w:cs="Times New Roman"/>
          <w:sz w:val="28"/>
          <w:szCs w:val="28"/>
        </w:rPr>
        <w:tab/>
        <w:t xml:space="preserve"> LokPal (Ombudsman)</w:t>
      </w:r>
    </w:p>
    <w:p w:rsidR="00DE089E" w:rsidRDefault="00DE089E" w:rsidP="00DE089E">
      <w:pPr>
        <w:pStyle w:val="NoSpacing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S.A.S. Nagar (Mohali)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Electricity, Punjab.</w:t>
      </w:r>
    </w:p>
    <w:p w:rsidR="00DE089E" w:rsidRDefault="00DE089E" w:rsidP="00DE089E">
      <w:pPr>
        <w:pStyle w:val="NoSpacing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089E" w:rsidRDefault="00DE089E" w:rsidP="00DE089E">
      <w:pPr>
        <w:pStyle w:val="NoSpacing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089E" w:rsidRDefault="00DE089E" w:rsidP="00DE089E">
      <w:pPr>
        <w:pStyle w:val="NoSpacing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9E" w:rsidRDefault="00DE089E" w:rsidP="00DE089E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9E" w:rsidRDefault="00DE089E" w:rsidP="00DE089E"/>
    <w:p w:rsidR="00965CBE" w:rsidRDefault="00965CBE"/>
    <w:sectPr w:rsidR="00965CBE" w:rsidSect="00DE0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FE8" w:rsidRDefault="00CF1FE8" w:rsidP="0065250F">
      <w:pPr>
        <w:spacing w:after="0" w:line="240" w:lineRule="auto"/>
      </w:pPr>
      <w:r>
        <w:separator/>
      </w:r>
    </w:p>
  </w:endnote>
  <w:endnote w:type="continuationSeparator" w:id="1">
    <w:p w:rsidR="00CF1FE8" w:rsidRDefault="00CF1FE8" w:rsidP="0065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0F" w:rsidRDefault="006525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0F" w:rsidRDefault="006525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0F" w:rsidRDefault="00652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FE8" w:rsidRDefault="00CF1FE8" w:rsidP="0065250F">
      <w:pPr>
        <w:spacing w:after="0" w:line="240" w:lineRule="auto"/>
      </w:pPr>
      <w:r>
        <w:separator/>
      </w:r>
    </w:p>
  </w:footnote>
  <w:footnote w:type="continuationSeparator" w:id="1">
    <w:p w:rsidR="00CF1FE8" w:rsidRDefault="00CF1FE8" w:rsidP="0065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0F" w:rsidRDefault="006525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719" o:spid="_x0000_s7170" type="#_x0000_t75" style="position:absolute;margin-left:0;margin-top:0;width:451.25pt;height:447.45pt;z-index:-251657216;mso-position-horizontal:center;mso-position-horizontal-relative:margin;mso-position-vertical:center;mso-position-vertical-relative:margin" o:allowincell="f">
          <v:imagedata r:id="rId1" o:title="ombudsman  LOGO (3)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0F" w:rsidRDefault="006525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720" o:spid="_x0000_s7171" type="#_x0000_t75" style="position:absolute;margin-left:0;margin-top:0;width:451.25pt;height:447.45pt;z-index:-251656192;mso-position-horizontal:center;mso-position-horizontal-relative:margin;mso-position-vertical:center;mso-position-vertical-relative:margin" o:allowincell="f">
          <v:imagedata r:id="rId1" o:title="ombudsman  LOGO (3)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0F" w:rsidRDefault="006525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718" o:spid="_x0000_s7169" type="#_x0000_t75" style="position:absolute;margin-left:0;margin-top:0;width:451.25pt;height:447.45pt;z-index:-251658240;mso-position-horizontal:center;mso-position-horizontal-relative:margin;mso-position-vertical:center;mso-position-vertical-relative:margin" o:allowincell="f">
          <v:imagedata r:id="rId1" o:title="ombudsman  LOGO (3)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089E"/>
    <w:rsid w:val="00143648"/>
    <w:rsid w:val="001C5E08"/>
    <w:rsid w:val="001D0937"/>
    <w:rsid w:val="00283B4B"/>
    <w:rsid w:val="002D04EB"/>
    <w:rsid w:val="005F6A02"/>
    <w:rsid w:val="0065250F"/>
    <w:rsid w:val="00846D4C"/>
    <w:rsid w:val="00965CBE"/>
    <w:rsid w:val="00A257F8"/>
    <w:rsid w:val="00B61805"/>
    <w:rsid w:val="00B77037"/>
    <w:rsid w:val="00CF1FE8"/>
    <w:rsid w:val="00D45273"/>
    <w:rsid w:val="00DE089E"/>
    <w:rsid w:val="00F2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89E"/>
    <w:pPr>
      <w:spacing w:after="0" w:line="240" w:lineRule="auto"/>
    </w:pPr>
    <w:rPr>
      <w:lang w:val="en-US" w:eastAsia="en-US"/>
    </w:rPr>
  </w:style>
  <w:style w:type="table" w:styleId="TableGrid">
    <w:name w:val="Table Grid"/>
    <w:basedOn w:val="TableNormal"/>
    <w:uiPriority w:val="59"/>
    <w:rsid w:val="00846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2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50F"/>
  </w:style>
  <w:style w:type="paragraph" w:styleId="Footer">
    <w:name w:val="footer"/>
    <w:basedOn w:val="Normal"/>
    <w:link w:val="FooterChar"/>
    <w:uiPriority w:val="99"/>
    <w:semiHidden/>
    <w:unhideWhenUsed/>
    <w:rsid w:val="00652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Ombudsman</dc:creator>
  <cp:keywords/>
  <dc:description/>
  <cp:lastModifiedBy>PS to Ombudsman</cp:lastModifiedBy>
  <cp:revision>11</cp:revision>
  <cp:lastPrinted>2019-06-10T10:36:00Z</cp:lastPrinted>
  <dcterms:created xsi:type="dcterms:W3CDTF">2019-06-06T05:50:00Z</dcterms:created>
  <dcterms:modified xsi:type="dcterms:W3CDTF">2019-06-10T11:35:00Z</dcterms:modified>
</cp:coreProperties>
</file>